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9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5"/>
          <w:rFonts w:hint="eastAsia" w:ascii="宋体" w:hAnsi="宋体" w:eastAsia="宋体" w:cs="宋体"/>
          <w:i w:val="0"/>
          <w:iCs w:val="0"/>
          <w:caps w:val="0"/>
          <w:color w:val="333399"/>
          <w:spacing w:val="0"/>
          <w:sz w:val="40"/>
          <w:szCs w:val="40"/>
          <w:bdr w:val="none" w:color="auto" w:sz="0" w:space="0"/>
          <w:shd w:val="clear" w:fill="FFFFFF"/>
        </w:rPr>
      </w:pPr>
      <w:bookmarkStart w:id="0" w:name="_GoBack"/>
      <w:r>
        <w:rPr>
          <w:rStyle w:val="5"/>
          <w:rFonts w:hint="eastAsia" w:ascii="宋体" w:hAnsi="宋体" w:eastAsia="宋体" w:cs="宋体"/>
          <w:i w:val="0"/>
          <w:iCs w:val="0"/>
          <w:caps w:val="0"/>
          <w:color w:val="333399"/>
          <w:spacing w:val="0"/>
          <w:sz w:val="40"/>
          <w:szCs w:val="40"/>
          <w:bdr w:val="none" w:color="auto" w:sz="0" w:space="0"/>
          <w:shd w:val="clear" w:fill="FFFFFF"/>
        </w:rPr>
        <w:t>党政机关厉行节约反对浪费条例</w:t>
      </w:r>
      <w:bookmarkEnd w:id="0"/>
      <w:r>
        <w:rPr>
          <w:rStyle w:val="5"/>
          <w:rFonts w:hint="eastAsia" w:ascii="宋体" w:hAnsi="宋体" w:eastAsia="宋体" w:cs="宋体"/>
          <w:i w:val="0"/>
          <w:iCs w:val="0"/>
          <w:caps w:val="0"/>
          <w:color w:val="333399"/>
          <w:spacing w:val="0"/>
          <w:sz w:val="40"/>
          <w:szCs w:val="40"/>
          <w:bdr w:val="none" w:color="auto" w:sz="0" w:space="0"/>
          <w:shd w:val="clear" w:fill="FFFFFF"/>
        </w:rPr>
        <w:br w:type="textWrapping"/>
      </w:r>
    </w:p>
    <w:p w14:paraId="5AFA1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99"/>
          <w:spacing w:val="0"/>
          <w:sz w:val="24"/>
          <w:szCs w:val="24"/>
          <w:bdr w:val="none" w:color="auto" w:sz="0" w:space="0"/>
          <w:shd w:val="clear" w:fill="FFFFFF"/>
        </w:rPr>
        <w:t>（2013年10月29日中共中央政治局会议审议批准　2013年11月18日中共中央、国务院发布</w:t>
      </w:r>
      <w:r>
        <w:rPr>
          <w:rFonts w:hint="eastAsia" w:ascii="楷体" w:hAnsi="楷体" w:eastAsia="楷体" w:cs="楷体"/>
          <w:i w:val="0"/>
          <w:iCs w:val="0"/>
          <w:caps w:val="0"/>
          <w:color w:val="333399"/>
          <w:spacing w:val="0"/>
          <w:sz w:val="24"/>
          <w:szCs w:val="24"/>
          <w:bdr w:val="none" w:color="auto" w:sz="0" w:space="0"/>
          <w:shd w:val="clear" w:fill="FFFFFF"/>
        </w:rPr>
        <w:br w:type="textWrapping"/>
      </w:r>
      <w:r>
        <w:rPr>
          <w:rFonts w:hint="eastAsia" w:ascii="楷体" w:hAnsi="楷体" w:eastAsia="楷体" w:cs="楷体"/>
          <w:i w:val="0"/>
          <w:iCs w:val="0"/>
          <w:caps w:val="0"/>
          <w:color w:val="333399"/>
          <w:spacing w:val="0"/>
          <w:sz w:val="24"/>
          <w:szCs w:val="24"/>
          <w:bdr w:val="none" w:color="auto" w:sz="0" w:space="0"/>
          <w:shd w:val="clear" w:fill="FFFFFF"/>
        </w:rPr>
        <w:t>2025年5月2日中共中央批准　2025年5月2日中共中央、国务院发布）</w:t>
      </w:r>
    </w:p>
    <w:p w14:paraId="70DB4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5"/>
          <w:rFonts w:hint="eastAsia" w:ascii="宋体" w:hAnsi="宋体" w:eastAsia="宋体" w:cs="宋体"/>
          <w:i w:val="0"/>
          <w:iCs w:val="0"/>
          <w:caps w:val="0"/>
          <w:color w:val="333333"/>
          <w:spacing w:val="0"/>
          <w:sz w:val="24"/>
          <w:szCs w:val="24"/>
          <w:bdr w:val="none" w:color="auto" w:sz="0" w:space="0"/>
          <w:shd w:val="clear" w:fill="FFFFFF"/>
        </w:rPr>
      </w:pPr>
    </w:p>
    <w:p w14:paraId="356CE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Style w:val="5"/>
          <w:rFonts w:hint="eastAsia" w:ascii="宋体" w:hAnsi="宋体" w:eastAsia="宋体" w:cs="宋体"/>
          <w:i w:val="0"/>
          <w:iCs w:val="0"/>
          <w:caps w:val="0"/>
          <w:color w:val="333333"/>
          <w:spacing w:val="0"/>
          <w:sz w:val="24"/>
          <w:szCs w:val="24"/>
          <w:bdr w:val="none" w:color="auto" w:sz="0" w:space="0"/>
          <w:shd w:val="clear" w:fill="FFFFFF"/>
        </w:rPr>
      </w:pPr>
    </w:p>
    <w:p w14:paraId="394F9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10CE7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为了进一步弘扬艰苦奋斗、勤俭节约的优良作风，推进党政机关厉行节约反对浪费，建设节约型机关，根据《中国共产党章程》和《中华人民共和国宪法》，制定本条例。</w:t>
      </w:r>
    </w:p>
    <w:p w14:paraId="27B86A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本条例适用于党的机关、人大机关、行政机关、政协机关、监察机关、审判机关、检察机关，以及工会、共青团、妇联等人民团体和参照公务员法管理的事业单位。</w:t>
      </w:r>
    </w:p>
    <w:p w14:paraId="4FD82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本条例所称浪费，是指党政机关及其工作人员违反规定进行不必要的公务活动，或者在履行公务中超出规定范围、标准和要求，不当使用公共资金、资产和资源，给国家和社会造成损失的行为。</w:t>
      </w:r>
    </w:p>
    <w:p w14:paraId="4FA94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23CA3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36111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各级纪检监察机关和组织人事、宣传、外事、发展改革、财政、审计、机关事务管理等部门根据职责分工，依规依法履行对厉行节约反对浪费相关工作的管理、监督等职责。</w:t>
      </w:r>
    </w:p>
    <w:p w14:paraId="5CA0B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508F9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2BE05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中央和国家机关各部门应当在厉行勤俭节约、反对铺张浪费上走在前、作表率。</w:t>
      </w:r>
    </w:p>
    <w:p w14:paraId="14920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经费管理</w:t>
      </w:r>
    </w:p>
    <w:p w14:paraId="120D0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党政机关应当加强预算编制管理，按照加强财政资源和预算统筹的要求，将各项收入和支出全部纳入预算。</w:t>
      </w:r>
    </w:p>
    <w:p w14:paraId="2F1D4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076EA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3804A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严格控制国内差旅费、因公临时出国（境）费、公务接待费、公务用车购置及运行费、会议费、培训费等支出。年度预算执行中不予追加，因特殊需要确需追加的，严格按照规定程序报批。</w:t>
      </w:r>
    </w:p>
    <w:p w14:paraId="3931C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健全预算执行全过程动态监控机制，完善预算绩效管理体系，增强预算执行的严肃性，提高预算执行的准确率，防止年底突击花钱等现象发生。</w:t>
      </w:r>
    </w:p>
    <w:p w14:paraId="16DF7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深化政府会计改革，进一步健全会计制度，准确核算机关运行经费，全面反映机关运行成本。</w:t>
      </w:r>
    </w:p>
    <w:p w14:paraId="25FED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79CB9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加强相关开支标准之间的衔接，完善开支标准动态调整机制，定期根据有关货物和服务的市场价格变动情况调整相关开支标准，增强开支标准的协调性、规范性、科学性。</w:t>
      </w:r>
    </w:p>
    <w:p w14:paraId="2C31B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严格开支范围和标准，严格支出报销审核，不得报销任何超范围、超标准以及与相关公务活动无关的费用。</w:t>
      </w:r>
    </w:p>
    <w:p w14:paraId="781B7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12DD3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党政机关采购货物、工程和服务，应当遵循公开透明、公平竞争、公正、诚实信用原则。</w:t>
      </w:r>
    </w:p>
    <w:p w14:paraId="47BB7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3E47C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71F8B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党政机关应当按照政府采购合同规定组织验收。政府采购监督管理部门应当建立健全政府采购结果评价制度，对政府采购的资金节约、政策效能、透明程度以及专业化水平进行综合、客观评价。</w:t>
      </w:r>
    </w:p>
    <w:p w14:paraId="0979B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完善政府采购管理交易系统，推进电子化政府采购。</w:t>
      </w:r>
    </w:p>
    <w:p w14:paraId="30273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优化政府投资方向和结构，加强政府投资全生命周期管理，坚决防止低效无效投资。</w:t>
      </w:r>
    </w:p>
    <w:p w14:paraId="732B2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完善“半拉子工程”、已建未用项目等科学处置程序办法。</w:t>
      </w:r>
    </w:p>
    <w:p w14:paraId="598AB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国内差旅和因公临时出国（境）</w:t>
      </w:r>
    </w:p>
    <w:p w14:paraId="2E673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283A6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国内差旅人员应当严格按照规定乘坐交通工具、住宿、用餐，费用由所在单位承担。</w:t>
      </w:r>
    </w:p>
    <w:p w14:paraId="59E37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差旅人员用车、住宿、用餐由接待单位协助安排的，必须按照规定标准及时足额交纳交通费、住宿费、伙食费。差旅人员不得向接待单位提出正常公务活动以外的要求，不得接受礼金、礼品和土特产品等。</w:t>
      </w:r>
    </w:p>
    <w:p w14:paraId="4E3FD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2FC65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组织人事、外专等部门应当加强出国培训总体规划和监督管理，严格控制出国培训规模，科学设置培训项目，择优选派培训对象，提高出国培训的质量和实效。</w:t>
      </w:r>
    </w:p>
    <w:p w14:paraId="69545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外事管理部门应当加强因公临时出国审核审批管理，对违反规定、不适合成行的团组予以调整或者取消。</w:t>
      </w:r>
    </w:p>
    <w:p w14:paraId="118B3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6E0D3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61672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出国期间，不得与我国驻外机构和其他中资机构、企业之间用公款互赠礼品或者纪念品，不得用公款相互宴请。</w:t>
      </w:r>
    </w:p>
    <w:p w14:paraId="7EA41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严格根据工作需要编制出境计划，加强因公出境审批和管理，不得违规安排出境考察，不得组织无实质内容的调研、会议、培训等活动。</w:t>
      </w:r>
    </w:p>
    <w:p w14:paraId="7EAAE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严格遵守因公出境经费预算、支出、使用、核算等财务制度，不得接受超标准接待和高消费娱乐，不得接受礼金、贵重礼品、有价证券、支付凭证等，严禁参与境外赌博。</w:t>
      </w:r>
    </w:p>
    <w:p w14:paraId="0EAB3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公务接待</w:t>
      </w:r>
    </w:p>
    <w:p w14:paraId="7E5D4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建立健全国内公务接待集中管理制度。党政机关公务接待管理部门应当加强对国内公务接待工作的管理、指导和监督。</w:t>
      </w:r>
    </w:p>
    <w:p w14:paraId="3E2BC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党政机关应当建立国内公务接待审批控制制度，严格执行公函制度，对无公函的公务活动一律不予接待，严禁将非公务活动纳入接待范围。</w:t>
      </w:r>
    </w:p>
    <w:p w14:paraId="561CA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党政机关应当严格执行国内公务接待标准，实行接待费支出总额控制制度。</w:t>
      </w:r>
    </w:p>
    <w:p w14:paraId="7594B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16315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接待单位不得在机场、车站、码头和辖区边界组织迎送活动，不得跨地区迎送。严格控制陪同人数，不得层层多人陪同。</w:t>
      </w:r>
    </w:p>
    <w:p w14:paraId="3B30F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接待单位应当严格执行国内公务接待清单制度，如实反映接待对象、公务活动、接待费、陪同和相关工作保障人员等情况。接待清单作为财务报销的凭证之一并接受审计。</w:t>
      </w:r>
    </w:p>
    <w:p w14:paraId="75787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外宾接待工作应当遵循服务外交、友好对等、务实节俭的原则。外宾邀请单位应当严格按照有关规定安排接待活动，严格执行接待规格和标准，从严从紧控制外宾团组接待费用。</w:t>
      </w:r>
    </w:p>
    <w:p w14:paraId="6D838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3A418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党政机关不得以任何名义新建、改建、扩建所属宾馆、招待所等具有接待功能的设施或者场所，不得以房屋维修等名义超出实际需要在接待场所超标准建设、豪华装修。</w:t>
      </w:r>
    </w:p>
    <w:p w14:paraId="51BA5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严格控制、严格审批新建扩建党性教育培训机构，不得以建设党性教育培训机构名义变相建设楼堂馆所、变相搞旅游开发。</w:t>
      </w:r>
    </w:p>
    <w:p w14:paraId="19F21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建立接待资源共享机制，推进机关所属接待、培训场所的集中统一管理和利用。健全服务经营机制，推行机关所属接待、培训场所企业化管理，降低服务经营成本。</w:t>
      </w:r>
    </w:p>
    <w:p w14:paraId="53837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积极推进国内公务接待服务社会化改革，有效利用社会资源为国内公务接待提供用车、住宿、用餐等服务。</w:t>
      </w:r>
    </w:p>
    <w:p w14:paraId="39521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公务用车</w:t>
      </w:r>
    </w:p>
    <w:p w14:paraId="0E1D2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坚持社会化、市场化方向，建立和实行符合国情的公务用车制度，合理有效配置公务用车资源，创新公务交通分类提供方式，保障公务出行，降低运行成本。</w:t>
      </w:r>
    </w:p>
    <w:p w14:paraId="7017F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普通公务出行由公务人员自主选择，实行社会化提供。按照有关规定发放公务交通补贴，不得以公务交通补贴的名义变相发放福利，不得既领取公务交通补贴又违规使用公务用车。</w:t>
      </w:r>
    </w:p>
    <w:p w14:paraId="2A125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党政机关公务用车实行统一编制、统一标准、统一购置经费、统一采购配备管理。</w:t>
      </w:r>
    </w:p>
    <w:p w14:paraId="6D3D5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52187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严格按照规定配备专车，不得擅自扩大专车配备范围或者变相配备专车。</w:t>
      </w:r>
    </w:p>
    <w:p w14:paraId="4317B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执法执勤用车配备应当严格限制在一线执法执勤岗位，机关内部管理和后勤岗位以及机关所属事业单位一律不得配备。</w:t>
      </w:r>
    </w:p>
    <w:p w14:paraId="51741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规范和加强党政机关所属垂直管理机构、派出机构公务用车管理，严格控制公务用车编制，推动车辆盘活利用，避免闲置浪费。</w:t>
      </w:r>
    </w:p>
    <w:p w14:paraId="6C8A9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公务用车实行政府集中采购，应当选用国产汽车，优先选用新能源汽车。</w:t>
      </w:r>
    </w:p>
    <w:p w14:paraId="59F47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公务用车严格按照规定年限更新，达到更新年限仍能继续使用的应当继续使用，不得因领导干部职务晋升、调动等原因提前更新。</w:t>
      </w:r>
    </w:p>
    <w:p w14:paraId="75BAF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公务用车保险、维修、加油等实行政府集中采购，降低运行成本。</w:t>
      </w:r>
    </w:p>
    <w:p w14:paraId="6DB3D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除涉及国家安全、侦查办案和其他有保密要求的特殊工作用车外，执法执勤等用车应当喷涂明显的统一标识。</w:t>
      </w:r>
    </w:p>
    <w:p w14:paraId="154AD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158A5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会议活动</w:t>
      </w:r>
    </w:p>
    <w:p w14:paraId="4252D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24E96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678EF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会议期间，不得安排宴请，不得组织旅游以及与会议无关的参观活动，不得以任何名义发放纪念品。</w:t>
      </w:r>
    </w:p>
    <w:p w14:paraId="1EACA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0277F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财政部门应当会同机关事务管理等部门制定本级党政机关会议费管理办法。</w:t>
      </w:r>
    </w:p>
    <w:p w14:paraId="47F72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健全培训审批制度，严格控制培训数量、时间、规模，严禁以培训名义召开会议。适合采取线上方式培训的应当通过线上方式开展。</w:t>
      </w:r>
    </w:p>
    <w:p w14:paraId="46B5A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严格执行分类培训经费开支标准，严格控制培训经费支出范围，严禁在培训经费中列支公务接待费、会议费等与培训无关的任何费用。严禁以培训名义进行公款宴请、公款旅游活动。</w:t>
      </w:r>
    </w:p>
    <w:p w14:paraId="0686D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精简规范节庆展会论坛活动，实行清单管理，从严审批。严禁使用财政资金举办营业性文艺演出。从严控制举办大型综合性运动会和各类赛会。</w:t>
      </w:r>
    </w:p>
    <w:p w14:paraId="527AA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47EA2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53F9B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办公用房</w:t>
      </w:r>
    </w:p>
    <w:p w14:paraId="0C13D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4041A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376B4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1CAC6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7F5AB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7B543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党政机关办公用房建设应当严格执行工程招投标和政府采购有关规定，加强对工程项目的全过程监理和审计监督。</w:t>
      </w:r>
    </w:p>
    <w:p w14:paraId="0AA42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58503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建立健全办公用房集中统一管理制度，对办公用房实行统一规划、统一权属、统一配置、统一处置。</w:t>
      </w:r>
    </w:p>
    <w:p w14:paraId="5A1C8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党政机关应当严格按照有关标准和“三定”规定，从严核定、使用办公用房。超标部分应当腾退移交同级机关事务管理部门统一调剂使用。</w:t>
      </w:r>
    </w:p>
    <w:p w14:paraId="46CE0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新建、调整办公用房的单位，应当按照“建新交旧”、“调新交旧”的原则，在搬入新建或者新调整办公用房的同时，将原办公用房腾退移交机关事务管理部门统一调剂使用。</w:t>
      </w:r>
    </w:p>
    <w:p w14:paraId="60790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4E7B4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党政机关办公用房闲置的，可以按照规定采取调剂使用、转换用途、置换、出租等方式及时处置利用。</w:t>
      </w:r>
    </w:p>
    <w:p w14:paraId="5A2BD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528CB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超标办公用房整改优先采取调换或者合用方式，采取工程改造方式整改的，工程改造方案应当简易、合理、厉行节约，多出的办公用房面积公用，不得直接隔断封死，防止造成新的浪费。</w:t>
      </w:r>
    </w:p>
    <w:p w14:paraId="15D5B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资源节约</w:t>
      </w:r>
    </w:p>
    <w:p w14:paraId="152A6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党政机关应当节约集约利用资源，加强全过程节约管理，提高能源、水、粮食、办公家具、办公设备、办公用品等的利用效率和效益，统筹利用土地，杜绝浪费行为。</w:t>
      </w:r>
    </w:p>
    <w:p w14:paraId="041F6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对能源、水的使用实行分类定额和目标责任管理。推广应用节能技术产品，淘汰高耗能设施设备，重点推广应用新能源和可再生能源。积极使用节水型器具，建设节水型单位。</w:t>
      </w:r>
    </w:p>
    <w:p w14:paraId="7E24A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完善节能产品政府采购政策，严格执行节能产品政府强制采购和优先采购制度。</w:t>
      </w:r>
    </w:p>
    <w:p w14:paraId="7B869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党政机关应当带头开展粮食节约行动，落实反食品浪费管理责任，加强机关食堂反食品浪费工作成效评估和通报，杜绝餐饮浪费。</w:t>
      </w:r>
    </w:p>
    <w:p w14:paraId="01D25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优化办公家具、办公设备等资产的配置和使用，从严控制新增资产配置，优先通过调剂方式盘活存量资产，节约购置资金。达到更新年限仍能继续使用的应当继续使用，不得报废处置。</w:t>
      </w:r>
    </w:p>
    <w:p w14:paraId="071AB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对产生的非涉密废纸、废弃电器电子产品等废旧物品进行集中回收处理，促进循环利用；涉及国家秘密的，按照有关保密规定进行销毁。</w:t>
      </w:r>
    </w:p>
    <w:p w14:paraId="63034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政务服务应当方便企业和群众办事，相关设施坚持实用原则，不得华而不实、铺张浪费，坚决防治和纠正政务服务中的“面子工程”。</w:t>
      </w:r>
    </w:p>
    <w:p w14:paraId="29E3C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2114F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积极利用信息化手段，推行无纸化办公，减少一次性办公用品消耗。</w:t>
      </w:r>
    </w:p>
    <w:p w14:paraId="08C1A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第九章　宣传教育</w:t>
      </w:r>
    </w:p>
    <w:p w14:paraId="17DA6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4A5FD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1C71D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纪检监察机关应当不定期曝光铺张浪费的典型案例，发挥警示教育作用。</w:t>
      </w:r>
    </w:p>
    <w:p w14:paraId="079AD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组织人事部门和党校（行政学院）、干部学院应当把厉行节约反对浪费作为干部教育培训的重要内容，创新教育方法，切实增强教育培训的针对性和实效性。</w:t>
      </w:r>
    </w:p>
    <w:p w14:paraId="69B3A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535CE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第十章　监督追责</w:t>
      </w:r>
    </w:p>
    <w:p w14:paraId="6FE46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各级党委和政府应当建立健全厉行节约反对浪费监督检查机制，加大监督力度。</w:t>
      </w:r>
    </w:p>
    <w:p w14:paraId="1471D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党委（党组）在巡视巡察工作中应当加强对厉行节约反对浪费落实情况的监督。</w:t>
      </w:r>
    </w:p>
    <w:p w14:paraId="523C9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党委和政府办公厅（室）负责统筹协调有关部门开展对厉行节约反对浪费工作的督促检查，针对突出问题开展重点检查、暗访等专项活动，加大对典型问题的通报力度。</w:t>
      </w:r>
    </w:p>
    <w:p w14:paraId="004CB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纪检监察机关应当加强对厉行节约反对浪费工作的监督，受理群众举报和有关部门移送的问题线索，及时查处违纪违法问题。</w:t>
      </w:r>
    </w:p>
    <w:p w14:paraId="4C120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财政部门应当加强对党政机关预算管理有关工作以及财务、政府采购和会计等事项的财会监督，依法处理发现的违规问题，并及时向本级党委和政府汇报有关结果。</w:t>
      </w:r>
    </w:p>
    <w:p w14:paraId="22DFD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31C02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002FF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党委（党组）在每年度向上级党组织报送的落实全面从严治党主体责任情况报告中，应当报告本地区、本部门、本单位厉行节约反对浪费工作情况。</w:t>
      </w:r>
    </w:p>
    <w:p w14:paraId="1346A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领导干部厉行节约反对浪费工作情况，应当列为领导班子民主生活会和领导干部述责述廉的重要内容并接受评议。</w:t>
      </w:r>
    </w:p>
    <w:p w14:paraId="3F2BD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党政机关应当建立健全厉行节约反对浪费信息公开制度，按照及时、方便、多样的原则，依规依法将应当公开的有关情况以适当方式公开。</w:t>
      </w:r>
    </w:p>
    <w:p w14:paraId="4F46D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有下列情形之一的，应当依规依纪依法追究负有领导责任的主要负责人或者有关领导干部的责任：</w:t>
      </w:r>
    </w:p>
    <w:p w14:paraId="2F45C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（一）政绩观错位，搞“形象工程”、“政绩工程”造成公共资金、资产和资源损失浪费；</w:t>
      </w:r>
    </w:p>
    <w:p w14:paraId="255FB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（二）本地区、本部门、本单位铺张浪费、奢侈奢华问题严重，对发现的问题查处不力，干部群众反映强烈；</w:t>
      </w:r>
    </w:p>
    <w:p w14:paraId="46DAF9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（三）指使、纵容管辖单位或者人员违反本条例规定造成浪费；</w:t>
      </w:r>
    </w:p>
    <w:p w14:paraId="2389C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（四）不履行或者不正确履行内部审批、管理、监督职责造成浪费；</w:t>
      </w:r>
    </w:p>
    <w:p w14:paraId="07FF6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（五）不按照规定及时公开本地区、本部门、本单位有关厉行节约反对浪费工作信息；</w:t>
      </w:r>
    </w:p>
    <w:p w14:paraId="78015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（六）其他对本地区、本部门、本单位铺张浪费问题负有领导责任的情形。</w:t>
      </w:r>
    </w:p>
    <w:p w14:paraId="7A9AD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有下列情形之一的，应当依规依纪依法追究有关人员的责任：</w:t>
      </w:r>
    </w:p>
    <w:p w14:paraId="7954C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（一）未经审批列支财政性资金；</w:t>
      </w:r>
    </w:p>
    <w:p w14:paraId="02682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（二）采取弄虚作假等手段违规取得审批；</w:t>
      </w:r>
    </w:p>
    <w:p w14:paraId="1CB13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（三）违反审批要求擅自变通执行；</w:t>
      </w:r>
    </w:p>
    <w:p w14:paraId="41284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（四）违反管理规定超标准或者以虚假事项开支；</w:t>
      </w:r>
    </w:p>
    <w:p w14:paraId="7C6BF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（五）利用职务便利假公济私；</w:t>
      </w:r>
    </w:p>
    <w:p w14:paraId="368B8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（六）其他违反审批、管理、监督规定的情形。</w:t>
      </w:r>
    </w:p>
    <w:p w14:paraId="42511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党政机关工作人员违反本条例规定造成浪费的，根据情节轻重，依规依纪依法给予批评教育、责令检查、诫勉、组织处理或者党纪政务处分。</w:t>
      </w:r>
    </w:p>
    <w:p w14:paraId="5A637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违反本条例规定获得的经济利益，应当依规依纪依法予以没收、追缴或者责令退赔。</w:t>
      </w:r>
    </w:p>
    <w:p w14:paraId="57404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第十一章　附则</w:t>
      </w:r>
    </w:p>
    <w:p w14:paraId="2477F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省、自治区、直辖市，中央和国家机关各部门，可以根据本条例，结合实际制定实施办法。有关职能部门应当根据各自职责，制定完善相关配套制度。</w:t>
      </w:r>
    </w:p>
    <w:p w14:paraId="06458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国有企业、国有金融企业、不参照公务员法管理的事业单位，参照本条例执行。</w:t>
      </w:r>
    </w:p>
    <w:p w14:paraId="5CF98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中国人民解放军和中国人民武装警察部队按照军队有关规定执行。</w:t>
      </w:r>
    </w:p>
    <w:p w14:paraId="1F8F8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本条例由中央办公厅、国务院办公厅会同有关部门解释。</w:t>
      </w:r>
    </w:p>
    <w:p w14:paraId="7660C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本条例自发布之日起施行。中央党内法规和法律另有规定的，从其规定。</w:t>
      </w:r>
    </w:p>
    <w:p w14:paraId="5F5AE6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83AA6"/>
    <w:rsid w:val="3358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2025-05-19T04:39:00Z</dcterms:created>
  <dc:creator>罗卫军</dc:creator>
  <cp:lastModifiedBy>罗卫军</cp:lastModifiedBy>
  <dcterms:modified xsi:type="dcterms:W3CDTF">2025-05-19T04:41:20Z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EC4259C42EB748CBB7E321EE6FE0B021_11</vt:lpwstr>
  </property>
  <property fmtid="{D5CDD505-2E9C-101B-9397-08002B2CF9AE}" pid="4" name="KSOTemplateDocerSaveRecord">
    <vt:lpwstr>eyJoZGlkIjoiMTg2OGU2MmE0NDU0YzY3NzZmYjU5Njk1OGVkMzM1NmEiLCJ1c2VySWQiOiI4NjcwMzU0NzkifQ==</vt:lpwstr>
  </property>
</Properties>
</file>